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4"/>
          <w:szCs w:val="24"/>
        </w:rPr>
      </w:pPr>
      <w:r w:rsidDel="00000000" w:rsidR="00000000" w:rsidRPr="00000000">
        <w:rPr>
          <w:sz w:val="24"/>
          <w:szCs w:val="24"/>
          <w:rtl w:val="0"/>
        </w:rPr>
        <w:t xml:space="preserve">Sixth-grade  Book Recommendations/ Wish List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hyperlink r:id="rId6">
        <w:r w:rsidDel="00000000" w:rsidR="00000000" w:rsidRPr="00000000">
          <w:rPr>
            <w:color w:val="1155cc"/>
            <w:u w:val="single"/>
            <w:rtl w:val="0"/>
          </w:rPr>
          <w:t xml:space="preserve">Babe Ruth: The Inspiring Story of…</w:t>
        </w:r>
      </w:hyperlink>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hyperlink r:id="rId7">
        <w:r w:rsidDel="00000000" w:rsidR="00000000" w:rsidRPr="00000000">
          <w:rPr>
            <w:color w:val="1155cc"/>
            <w:u w:val="single"/>
            <w:rtl w:val="0"/>
          </w:rPr>
          <w:t xml:space="preserve">Baseball:  Game of Extremes</w:t>
        </w:r>
      </w:hyperlink>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hyperlink r:id="rId8">
        <w:r w:rsidDel="00000000" w:rsidR="00000000" w:rsidRPr="00000000">
          <w:rPr>
            <w:color w:val="1155cc"/>
            <w:u w:val="single"/>
            <w:rtl w:val="0"/>
          </w:rPr>
          <w:t xml:space="preserve">Baseball GOATS</w:t>
        </w:r>
      </w:hyperlink>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hyperlink r:id="rId9">
        <w:r w:rsidDel="00000000" w:rsidR="00000000" w:rsidRPr="00000000">
          <w:rPr>
            <w:color w:val="1155cc"/>
            <w:u w:val="single"/>
            <w:rtl w:val="0"/>
          </w:rPr>
          <w:t xml:space="preserve">Dogs Who Play Baseball</w:t>
        </w:r>
      </w:hyperlink>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hyperlink r:id="rId10">
        <w:r w:rsidDel="00000000" w:rsidR="00000000" w:rsidRPr="00000000">
          <w:rPr>
            <w:color w:val="1155cc"/>
            <w:u w:val="single"/>
            <w:rtl w:val="0"/>
          </w:rPr>
          <w:t xml:space="preserve">The Hero Two Doors Down</w:t>
        </w:r>
      </w:hyperlink>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hyperlink r:id="rId11">
        <w:r w:rsidDel="00000000" w:rsidR="00000000" w:rsidRPr="00000000">
          <w:rPr>
            <w:color w:val="1155cc"/>
            <w:u w:val="single"/>
            <w:rtl w:val="0"/>
          </w:rPr>
          <w:t xml:space="preserve">The Journey of Hope</w:t>
        </w:r>
      </w:hyperlink>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Strawbees</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hyperlink r:id="rId12">
        <w:r w:rsidDel="00000000" w:rsidR="00000000" w:rsidRPr="00000000">
          <w:rPr>
            <w:rFonts w:ascii="Comic Sans MS" w:cs="Comic Sans MS" w:eastAsia="Comic Sans MS" w:hAnsi="Comic Sans MS"/>
            <w:color w:val="1155cc"/>
            <w:highlight w:val="white"/>
            <w:u w:val="single"/>
            <w:rtl w:val="0"/>
          </w:rPr>
          <w:t xml:space="preserve">https://strawbees.com/product/sustainability-station/</w:t>
        </w:r>
      </w:hyperlink>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pacing w:after="240" w:lineRule="auto"/>
        <w:rPr>
          <w:color w:val="272727"/>
          <w:sz w:val="27"/>
          <w:szCs w:val="27"/>
        </w:rPr>
      </w:pPr>
      <w:r w:rsidDel="00000000" w:rsidR="00000000" w:rsidRPr="00000000">
        <w:rPr>
          <w:color w:val="272727"/>
          <w:sz w:val="27"/>
          <w:szCs w:val="27"/>
          <w:rtl w:val="0"/>
        </w:rPr>
        <w:t xml:space="preserve">Produce unlimited Strawbees connectors with any found material in your household or classroom.</w:t>
      </w:r>
    </w:p>
    <w:p w:rsidR="00000000" w:rsidDel="00000000" w:rsidP="00000000" w:rsidRDefault="00000000" w:rsidRPr="00000000" w14:paraId="00000032">
      <w:pPr>
        <w:numPr>
          <w:ilvl w:val="0"/>
          <w:numId w:val="1"/>
        </w:numPr>
        <w:pBdr>
          <w:top w:color="auto" w:space="0" w:sz="0" w:val="none"/>
          <w:bottom w:color="auto" w:space="0" w:sz="0" w:val="none"/>
          <w:right w:color="auto" w:space="0" w:sz="0" w:val="none"/>
          <w:between w:color="auto" w:space="0" w:sz="0" w:val="none"/>
        </w:pBdr>
        <w:spacing w:line="335.99999999999994" w:lineRule="auto"/>
        <w:ind w:left="720" w:hanging="360"/>
      </w:pPr>
      <w:r w:rsidDel="00000000" w:rsidR="00000000" w:rsidRPr="00000000">
        <w:rPr>
          <w:color w:val="272727"/>
          <w:sz w:val="27"/>
          <w:szCs w:val="27"/>
          <w:rtl w:val="0"/>
        </w:rPr>
        <w:t xml:space="preserve">Infinite Strawbees production</w:t>
      </w:r>
    </w:p>
    <w:p w:rsidR="00000000" w:rsidDel="00000000" w:rsidP="00000000" w:rsidRDefault="00000000" w:rsidRPr="00000000" w14:paraId="00000033">
      <w:pPr>
        <w:numPr>
          <w:ilvl w:val="0"/>
          <w:numId w:val="1"/>
        </w:numPr>
        <w:pBdr>
          <w:top w:color="auto" w:space="0" w:sz="0" w:val="none"/>
          <w:bottom w:color="auto" w:space="0" w:sz="0" w:val="none"/>
          <w:right w:color="auto" w:space="0" w:sz="0" w:val="none"/>
          <w:between w:color="auto" w:space="0" w:sz="0" w:val="none"/>
        </w:pBdr>
        <w:spacing w:line="335.99999999999994" w:lineRule="auto"/>
        <w:ind w:left="720" w:hanging="360"/>
      </w:pPr>
      <w:r w:rsidDel="00000000" w:rsidR="00000000" w:rsidRPr="00000000">
        <w:rPr>
          <w:color w:val="272727"/>
          <w:sz w:val="27"/>
          <w:szCs w:val="27"/>
          <w:rtl w:val="0"/>
        </w:rPr>
        <w:t xml:space="preserve">Upcycling found materials</w:t>
      </w:r>
    </w:p>
    <w:p w:rsidR="00000000" w:rsidDel="00000000" w:rsidP="00000000" w:rsidRDefault="00000000" w:rsidRPr="00000000" w14:paraId="00000034">
      <w:pPr>
        <w:numPr>
          <w:ilvl w:val="0"/>
          <w:numId w:val="1"/>
        </w:numPr>
        <w:pBdr>
          <w:top w:color="auto" w:space="0" w:sz="0" w:val="none"/>
          <w:bottom w:color="auto" w:space="0" w:sz="0" w:val="none"/>
          <w:right w:color="auto" w:space="0" w:sz="0" w:val="none"/>
          <w:between w:color="auto" w:space="0" w:sz="0" w:val="none"/>
        </w:pBdr>
        <w:spacing w:line="335.99999999999994" w:lineRule="auto"/>
        <w:ind w:left="720" w:hanging="360"/>
      </w:pPr>
      <w:r w:rsidDel="00000000" w:rsidR="00000000" w:rsidRPr="00000000">
        <w:rPr>
          <w:color w:val="272727"/>
          <w:sz w:val="27"/>
          <w:szCs w:val="27"/>
          <w:rtl w:val="0"/>
        </w:rPr>
        <w:t xml:space="preserve">Create a building set</w:t>
      </w:r>
    </w:p>
    <w:p w:rsidR="00000000" w:rsidDel="00000000" w:rsidP="00000000" w:rsidRDefault="00000000" w:rsidRPr="00000000" w14:paraId="00000035">
      <w:pPr>
        <w:rPr>
          <w:color w:val="272727"/>
          <w:sz w:val="36"/>
          <w:szCs w:val="36"/>
          <w:highlight w:val="white"/>
        </w:rPr>
      </w:pPr>
      <w:r w:rsidDel="00000000" w:rsidR="00000000" w:rsidRPr="00000000">
        <w:rPr>
          <w:color w:val="272727"/>
          <w:sz w:val="36"/>
          <w:szCs w:val="36"/>
          <w:highlight w:val="white"/>
          <w:rtl w:val="0"/>
        </w:rPr>
        <w:t xml:space="preserve">USD $995.00</w:t>
      </w:r>
    </w:p>
    <w:p w:rsidR="00000000" w:rsidDel="00000000" w:rsidP="00000000" w:rsidRDefault="00000000" w:rsidRPr="00000000" w14:paraId="00000036">
      <w:pPr>
        <w:rPr>
          <w:color w:val="272727"/>
          <w:sz w:val="36"/>
          <w:szCs w:val="36"/>
          <w:highlight w:val="white"/>
        </w:rPr>
      </w:pPr>
      <w:r w:rsidDel="00000000" w:rsidR="00000000" w:rsidRPr="00000000">
        <w:rPr>
          <w:rtl w:val="0"/>
        </w:rPr>
      </w:r>
    </w:p>
    <w:p w:rsidR="00000000" w:rsidDel="00000000" w:rsidP="00000000" w:rsidRDefault="00000000" w:rsidRPr="00000000" w14:paraId="00000037">
      <w:pPr>
        <w:pBdr>
          <w:top w:color="auto" w:space="0" w:sz="0" w:val="none"/>
          <w:left w:color="auto" w:space="0" w:sz="0" w:val="none"/>
          <w:bottom w:color="auto" w:space="11" w:sz="0" w:val="none"/>
          <w:right w:color="auto" w:space="0" w:sz="0" w:val="none"/>
        </w:pBdr>
        <w:shd w:fill="ffc903" w:val="clear"/>
        <w:rPr>
          <w:color w:val="272727"/>
          <w:sz w:val="27"/>
          <w:szCs w:val="27"/>
          <w:highlight w:val="white"/>
        </w:rPr>
      </w:pPr>
      <w:r w:rsidDel="00000000" w:rsidR="00000000" w:rsidRPr="00000000">
        <w:rPr>
          <w:color w:val="272727"/>
          <w:sz w:val="27"/>
          <w:szCs w:val="27"/>
          <w:highlight w:val="white"/>
          <w:rtl w:val="0"/>
        </w:rPr>
        <w:t xml:space="preserve">Use any plastic waste to create your own set of connectors, making the perfect sustainable building toy creator. The Sustainability Station is a durable hand-operated machine that will last for many years and make precise connectors shapes for you to create your own set. The dies will cut through cardboard, chipboard, plastic sheets and more with ease.</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hd w:fill="ffc903" w:val="clear"/>
        <w:rPr>
          <w:color w:val="272727"/>
          <w:sz w:val="27"/>
          <w:szCs w:val="27"/>
          <w:highlight w:val="white"/>
        </w:rPr>
      </w:pPr>
      <w:r w:rsidDel="00000000" w:rsidR="00000000" w:rsidRPr="00000000">
        <w:rPr>
          <w:color w:val="272727"/>
          <w:sz w:val="27"/>
          <w:szCs w:val="27"/>
          <w:highlight w:val="white"/>
          <w:rtl w:val="0"/>
        </w:rPr>
        <w:t xml:space="preserve">The sides also fold up, giving you more room to work when the machine is not in use.</w:t>
      </w:r>
    </w:p>
    <w:p w:rsidR="00000000" w:rsidDel="00000000" w:rsidP="00000000" w:rsidRDefault="00000000" w:rsidRPr="00000000" w14:paraId="00000039">
      <w:pPr>
        <w:rPr>
          <w:color w:val="272727"/>
          <w:sz w:val="36"/>
          <w:szCs w:val="36"/>
          <w:highlight w:val="white"/>
        </w:rPr>
      </w:pPr>
      <w:r w:rsidDel="00000000" w:rsidR="00000000" w:rsidRPr="00000000">
        <w:rPr>
          <w:rtl w:val="0"/>
        </w:rPr>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80"/>
        <w:gridCol w:w="4680"/>
        <w:tblGridChange w:id="0">
          <w:tblGrid>
            <w:gridCol w:w="4680"/>
            <w:gridCol w:w="4680"/>
          </w:tblGrid>
        </w:tblGridChange>
      </w:tblGrid>
      <w:tr>
        <w:trPr>
          <w:cantSplit w:val="0"/>
          <w:trHeight w:val="1090" w:hRule="atLeast"/>
          <w:tblHeader w:val="0"/>
        </w:trPr>
        <w:tc>
          <w:tcPr>
            <w:tcBorders>
              <w:top w:color="000000" w:space="0" w:sz="0" w:val="nil"/>
              <w:left w:color="000000" w:space="0" w:sz="0" w:val="nil"/>
              <w:bottom w:color="bdbdbd" w:space="0" w:sz="6" w:val="single"/>
              <w:right w:color="000000" w:space="0" w:sz="0" w:val="nil"/>
            </w:tcBorders>
            <w:tcMar>
              <w:top w:w="100.0" w:type="dxa"/>
              <w:left w:w="120.0" w:type="dxa"/>
              <w:bottom w:w="100.0" w:type="dxa"/>
              <w:right w:w="120.0" w:type="dxa"/>
            </w:tcMar>
            <w:vAlign w:val="top"/>
          </w:tcPr>
          <w:p w:rsidR="00000000" w:rsidDel="00000000" w:rsidP="00000000" w:rsidRDefault="00000000" w:rsidRPr="00000000" w14:paraId="0000003A">
            <w:pPr>
              <w:jc w:val="center"/>
              <w:rPr>
                <w:color w:val="272727"/>
                <w:sz w:val="27"/>
                <w:szCs w:val="27"/>
                <w:highlight w:val="white"/>
              </w:rPr>
            </w:pPr>
            <w:r w:rsidDel="00000000" w:rsidR="00000000" w:rsidRPr="00000000">
              <w:rPr>
                <w:b w:val="1"/>
                <w:color w:val="272727"/>
                <w:sz w:val="27"/>
                <w:szCs w:val="27"/>
                <w:highlight w:val="white"/>
                <w:rtl w:val="0"/>
              </w:rPr>
              <w:t xml:space="preserve">GE AND GRADE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0.0" w:type="dxa"/>
              <w:bottom w:w="0.0" w:type="dxa"/>
              <w:right w:w="0.0" w:type="dxa"/>
            </w:tcMar>
            <w:vAlign w:val="top"/>
          </w:tcPr>
          <w:p w:rsidR="00000000" w:rsidDel="00000000" w:rsidP="00000000" w:rsidRDefault="00000000" w:rsidRPr="00000000" w14:paraId="0000003B">
            <w:pPr>
              <w:pBdr>
                <w:top w:color="auto" w:space="6" w:sz="0" w:val="none"/>
                <w:left w:color="auto" w:space="0" w:sz="0" w:val="none"/>
                <w:bottom w:color="auto" w:space="6" w:sz="0" w:val="none"/>
                <w:right w:color="auto" w:space="0" w:sz="0" w:val="none"/>
                <w:between w:color="auto" w:space="6" w:sz="0" w:val="none"/>
              </w:pBdr>
              <w:rPr>
                <w:color w:val="272727"/>
                <w:sz w:val="27"/>
                <w:szCs w:val="27"/>
                <w:highlight w:val="white"/>
              </w:rPr>
            </w:pPr>
            <w:r w:rsidDel="00000000" w:rsidR="00000000" w:rsidRPr="00000000">
              <w:rPr>
                <w:color w:val="272727"/>
                <w:sz w:val="27"/>
                <w:szCs w:val="27"/>
                <w:highlight w:val="white"/>
                <w:rtl w:val="0"/>
              </w:rPr>
              <w:t xml:space="preserve">Ages 8 and up</w:t>
            </w:r>
          </w:p>
          <w:p w:rsidR="00000000" w:rsidDel="00000000" w:rsidP="00000000" w:rsidRDefault="00000000" w:rsidRPr="00000000" w14:paraId="0000003C">
            <w:pPr>
              <w:pBdr>
                <w:top w:color="auto" w:space="6" w:sz="0" w:val="none"/>
                <w:left w:color="auto" w:space="0" w:sz="0" w:val="none"/>
                <w:bottom w:color="auto" w:space="6" w:sz="0" w:val="none"/>
                <w:right w:color="auto" w:space="0" w:sz="0" w:val="none"/>
                <w:between w:color="auto" w:space="6" w:sz="0" w:val="none"/>
              </w:pBdr>
              <w:rPr>
                <w:color w:val="272727"/>
                <w:sz w:val="27"/>
                <w:szCs w:val="27"/>
                <w:highlight w:val="white"/>
              </w:rPr>
            </w:pPr>
            <w:r w:rsidDel="00000000" w:rsidR="00000000" w:rsidRPr="00000000">
              <w:rPr>
                <w:color w:val="272727"/>
                <w:sz w:val="27"/>
                <w:szCs w:val="27"/>
                <w:highlight w:val="white"/>
                <w:rtl w:val="0"/>
              </w:rPr>
              <w:t xml:space="preserve">Grade in US schools: 3rd grade and up</w:t>
            </w:r>
          </w:p>
        </w:tc>
      </w:tr>
      <w:tr>
        <w:trPr>
          <w:cantSplit w:val="0"/>
          <w:trHeight w:val="890" w:hRule="atLeast"/>
          <w:tblHeader w:val="0"/>
        </w:trPr>
        <w:tc>
          <w:tcPr>
            <w:tcBorders>
              <w:top w:color="000000" w:space="0" w:sz="0" w:val="nil"/>
              <w:left w:color="000000" w:space="0" w:sz="0" w:val="nil"/>
              <w:bottom w:color="bdbdbd" w:space="0" w:sz="6" w:val="single"/>
              <w:right w:color="000000" w:space="0" w:sz="0" w:val="nil"/>
            </w:tcBorders>
            <w:tcMar>
              <w:top w:w="100.0" w:type="dxa"/>
              <w:left w:w="120.0" w:type="dxa"/>
              <w:bottom w:w="100.0" w:type="dxa"/>
              <w:right w:w="120.0" w:type="dxa"/>
            </w:tcMar>
            <w:vAlign w:val="top"/>
          </w:tcPr>
          <w:p w:rsidR="00000000" w:rsidDel="00000000" w:rsidP="00000000" w:rsidRDefault="00000000" w:rsidRPr="00000000" w14:paraId="0000003D">
            <w:pPr>
              <w:jc w:val="center"/>
              <w:rPr>
                <w:color w:val="272727"/>
                <w:sz w:val="27"/>
                <w:szCs w:val="27"/>
                <w:highlight w:val="white"/>
              </w:rPr>
            </w:pPr>
            <w:r w:rsidDel="00000000" w:rsidR="00000000" w:rsidRPr="00000000">
              <w:rPr>
                <w:b w:val="1"/>
                <w:color w:val="272727"/>
                <w:sz w:val="27"/>
                <w:szCs w:val="27"/>
                <w:highlight w:val="white"/>
                <w:rtl w:val="0"/>
              </w:rPr>
              <w:t xml:space="preserve">NUMBER OF STUDENTS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0.0" w:type="dxa"/>
              <w:bottom w:w="0.0" w:type="dxa"/>
              <w:right w:w="0.0" w:type="dxa"/>
            </w:tcMar>
            <w:vAlign w:val="top"/>
          </w:tcPr>
          <w:p w:rsidR="00000000" w:rsidDel="00000000" w:rsidP="00000000" w:rsidRDefault="00000000" w:rsidRPr="00000000" w14:paraId="0000003E">
            <w:pPr>
              <w:pBdr>
                <w:top w:color="auto" w:space="6" w:sz="0" w:val="none"/>
                <w:left w:color="auto" w:space="0" w:sz="0" w:val="none"/>
                <w:bottom w:color="auto" w:space="6" w:sz="0" w:val="none"/>
                <w:right w:color="auto" w:space="0" w:sz="0" w:val="none"/>
                <w:between w:color="auto" w:space="6" w:sz="0" w:val="none"/>
              </w:pBdr>
              <w:rPr>
                <w:color w:val="272727"/>
                <w:sz w:val="27"/>
                <w:szCs w:val="27"/>
                <w:highlight w:val="white"/>
              </w:rPr>
            </w:pPr>
            <w:r w:rsidDel="00000000" w:rsidR="00000000" w:rsidRPr="00000000">
              <w:rPr>
                <w:color w:val="272727"/>
                <w:sz w:val="27"/>
                <w:szCs w:val="27"/>
                <w:highlight w:val="white"/>
                <w:rtl w:val="0"/>
              </w:rPr>
              <w:t xml:space="preserve">25+ students</w:t>
            </w:r>
          </w:p>
        </w:tc>
      </w:tr>
      <w:tr>
        <w:trPr>
          <w:cantSplit w:val="0"/>
          <w:trHeight w:val="2605" w:hRule="atLeast"/>
          <w:tblHeader w:val="0"/>
        </w:trPr>
        <w:tc>
          <w:tcPr>
            <w:tcBorders>
              <w:top w:color="000000" w:space="0" w:sz="0" w:val="nil"/>
              <w:left w:color="000000" w:space="0" w:sz="0" w:val="nil"/>
              <w:bottom w:color="bdbdbd" w:space="0" w:sz="6" w:val="single"/>
              <w:right w:color="000000" w:space="0" w:sz="0" w:val="nil"/>
            </w:tcBorders>
            <w:tcMar>
              <w:top w:w="100.0" w:type="dxa"/>
              <w:left w:w="120.0" w:type="dxa"/>
              <w:bottom w:w="100.0" w:type="dxa"/>
              <w:right w:w="120.0" w:type="dxa"/>
            </w:tcMar>
            <w:vAlign w:val="top"/>
          </w:tcPr>
          <w:p w:rsidR="00000000" w:rsidDel="00000000" w:rsidP="00000000" w:rsidRDefault="00000000" w:rsidRPr="00000000" w14:paraId="0000003F">
            <w:pPr>
              <w:jc w:val="center"/>
              <w:rPr>
                <w:color w:val="272727"/>
                <w:sz w:val="27"/>
                <w:szCs w:val="27"/>
                <w:highlight w:val="white"/>
              </w:rPr>
            </w:pPr>
            <w:r w:rsidDel="00000000" w:rsidR="00000000" w:rsidRPr="00000000">
              <w:rPr>
                <w:b w:val="1"/>
                <w:color w:val="272727"/>
                <w:sz w:val="27"/>
                <w:szCs w:val="27"/>
                <w:highlight w:val="white"/>
                <w:rtl w:val="0"/>
              </w:rPr>
              <w:t xml:space="preserve">GREAT FOR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0.0" w:type="dxa"/>
              <w:bottom w:w="0.0" w:type="dxa"/>
              <w:right w:w="0.0" w:type="dxa"/>
            </w:tcMar>
            <w:vAlign w:val="top"/>
          </w:tcPr>
          <w:p w:rsidR="00000000" w:rsidDel="00000000" w:rsidP="00000000" w:rsidRDefault="00000000" w:rsidRPr="00000000" w14:paraId="00000040">
            <w:pPr>
              <w:pBdr>
                <w:top w:color="auto" w:space="6" w:sz="0" w:val="none"/>
                <w:left w:color="auto" w:space="0" w:sz="0" w:val="none"/>
                <w:bottom w:color="auto" w:space="6" w:sz="0" w:val="none"/>
                <w:right w:color="auto" w:space="0" w:sz="0" w:val="none"/>
                <w:between w:color="auto" w:space="6" w:sz="0" w:val="none"/>
              </w:pBdr>
              <w:rPr>
                <w:color w:val="272727"/>
                <w:sz w:val="27"/>
                <w:szCs w:val="27"/>
                <w:highlight w:val="white"/>
              </w:rPr>
            </w:pPr>
            <w:r w:rsidDel="00000000" w:rsidR="00000000" w:rsidRPr="00000000">
              <w:rPr>
                <w:color w:val="272727"/>
                <w:sz w:val="27"/>
                <w:szCs w:val="27"/>
                <w:highlight w:val="white"/>
                <w:rtl w:val="0"/>
              </w:rPr>
              <w:t xml:space="preserve">Afterschool programs</w:t>
            </w:r>
          </w:p>
          <w:p w:rsidR="00000000" w:rsidDel="00000000" w:rsidP="00000000" w:rsidRDefault="00000000" w:rsidRPr="00000000" w14:paraId="00000041">
            <w:pPr>
              <w:pBdr>
                <w:top w:color="auto" w:space="6" w:sz="0" w:val="none"/>
                <w:left w:color="auto" w:space="0" w:sz="0" w:val="none"/>
                <w:bottom w:color="auto" w:space="6" w:sz="0" w:val="none"/>
                <w:right w:color="auto" w:space="0" w:sz="0" w:val="none"/>
                <w:between w:color="auto" w:space="6" w:sz="0" w:val="none"/>
              </w:pBdr>
              <w:rPr>
                <w:color w:val="272727"/>
                <w:sz w:val="27"/>
                <w:szCs w:val="27"/>
                <w:highlight w:val="white"/>
              </w:rPr>
            </w:pPr>
            <w:r w:rsidDel="00000000" w:rsidR="00000000" w:rsidRPr="00000000">
              <w:rPr>
                <w:color w:val="272727"/>
                <w:sz w:val="27"/>
                <w:szCs w:val="27"/>
                <w:highlight w:val="white"/>
                <w:rtl w:val="0"/>
              </w:rPr>
              <w:t xml:space="preserve">Libraries</w:t>
            </w:r>
          </w:p>
          <w:p w:rsidR="00000000" w:rsidDel="00000000" w:rsidP="00000000" w:rsidRDefault="00000000" w:rsidRPr="00000000" w14:paraId="00000042">
            <w:pPr>
              <w:pBdr>
                <w:top w:color="auto" w:space="6" w:sz="0" w:val="none"/>
                <w:left w:color="auto" w:space="0" w:sz="0" w:val="none"/>
                <w:bottom w:color="auto" w:space="6" w:sz="0" w:val="none"/>
                <w:right w:color="auto" w:space="0" w:sz="0" w:val="none"/>
                <w:between w:color="auto" w:space="6" w:sz="0" w:val="none"/>
              </w:pBdr>
              <w:rPr>
                <w:color w:val="272727"/>
                <w:sz w:val="27"/>
                <w:szCs w:val="27"/>
                <w:highlight w:val="white"/>
              </w:rPr>
            </w:pPr>
            <w:r w:rsidDel="00000000" w:rsidR="00000000" w:rsidRPr="00000000">
              <w:rPr>
                <w:color w:val="272727"/>
                <w:sz w:val="27"/>
                <w:szCs w:val="27"/>
                <w:highlight w:val="white"/>
                <w:rtl w:val="0"/>
              </w:rPr>
              <w:t xml:space="preserve">Makerspaces</w:t>
            </w:r>
          </w:p>
          <w:p w:rsidR="00000000" w:rsidDel="00000000" w:rsidP="00000000" w:rsidRDefault="00000000" w:rsidRPr="00000000" w14:paraId="00000043">
            <w:pPr>
              <w:pBdr>
                <w:top w:color="auto" w:space="6" w:sz="0" w:val="none"/>
                <w:left w:color="auto" w:space="0" w:sz="0" w:val="none"/>
                <w:bottom w:color="auto" w:space="6" w:sz="0" w:val="none"/>
                <w:right w:color="auto" w:space="0" w:sz="0" w:val="none"/>
                <w:between w:color="auto" w:space="6" w:sz="0" w:val="none"/>
              </w:pBdr>
              <w:rPr>
                <w:color w:val="272727"/>
                <w:sz w:val="27"/>
                <w:szCs w:val="27"/>
                <w:highlight w:val="white"/>
              </w:rPr>
            </w:pPr>
            <w:r w:rsidDel="00000000" w:rsidR="00000000" w:rsidRPr="00000000">
              <w:rPr>
                <w:color w:val="272727"/>
                <w:sz w:val="27"/>
                <w:szCs w:val="27"/>
                <w:highlight w:val="white"/>
                <w:rtl w:val="0"/>
              </w:rPr>
              <w:t xml:space="preserve">School Classrooms</w:t>
            </w:r>
          </w:p>
          <w:p w:rsidR="00000000" w:rsidDel="00000000" w:rsidP="00000000" w:rsidRDefault="00000000" w:rsidRPr="00000000" w14:paraId="00000044">
            <w:pPr>
              <w:pBdr>
                <w:top w:color="auto" w:space="6" w:sz="0" w:val="none"/>
                <w:left w:color="auto" w:space="0" w:sz="0" w:val="none"/>
                <w:bottom w:color="auto" w:space="6" w:sz="0" w:val="none"/>
                <w:right w:color="auto" w:space="0" w:sz="0" w:val="none"/>
                <w:between w:color="auto" w:space="6" w:sz="0" w:val="none"/>
              </w:pBdr>
              <w:rPr>
                <w:color w:val="272727"/>
                <w:sz w:val="27"/>
                <w:szCs w:val="27"/>
                <w:highlight w:val="white"/>
              </w:rPr>
            </w:pPr>
            <w:r w:rsidDel="00000000" w:rsidR="00000000" w:rsidRPr="00000000">
              <w:rPr>
                <w:color w:val="272727"/>
                <w:sz w:val="27"/>
                <w:szCs w:val="27"/>
                <w:highlight w:val="white"/>
                <w:rtl w:val="0"/>
              </w:rPr>
              <w:t xml:space="preserve">Science Centers</w:t>
            </w:r>
          </w:p>
          <w:p w:rsidR="00000000" w:rsidDel="00000000" w:rsidP="00000000" w:rsidRDefault="00000000" w:rsidRPr="00000000" w14:paraId="00000045">
            <w:pPr>
              <w:pBdr>
                <w:top w:color="auto" w:space="6" w:sz="0" w:val="none"/>
                <w:left w:color="auto" w:space="0" w:sz="0" w:val="none"/>
                <w:bottom w:color="auto" w:space="6" w:sz="0" w:val="none"/>
                <w:right w:color="auto" w:space="0" w:sz="0" w:val="none"/>
                <w:between w:color="auto" w:space="6" w:sz="0" w:val="none"/>
              </w:pBdr>
              <w:rPr>
                <w:color w:val="272727"/>
                <w:sz w:val="27"/>
                <w:szCs w:val="27"/>
                <w:highlight w:val="white"/>
              </w:rPr>
            </w:pPr>
            <w:r w:rsidDel="00000000" w:rsidR="00000000" w:rsidRPr="00000000">
              <w:rPr>
                <w:color w:val="272727"/>
                <w:sz w:val="27"/>
                <w:szCs w:val="27"/>
                <w:highlight w:val="white"/>
                <w:rtl w:val="0"/>
              </w:rPr>
              <w:t xml:space="preserve">Summer Camps</w:t>
            </w:r>
          </w:p>
        </w:tc>
      </w:tr>
      <w:tr>
        <w:trPr>
          <w:cantSplit w:val="0"/>
          <w:trHeight w:val="890" w:hRule="atLeast"/>
          <w:tblHeader w:val="0"/>
        </w:trPr>
        <w:tc>
          <w:tcPr>
            <w:tcBorders>
              <w:top w:color="000000" w:space="0" w:sz="0" w:val="nil"/>
              <w:left w:color="000000" w:space="0" w:sz="0" w:val="nil"/>
              <w:bottom w:color="bdbdbd" w:space="0" w:sz="6" w:val="single"/>
              <w:right w:color="000000" w:space="0" w:sz="0" w:val="nil"/>
            </w:tcBorders>
            <w:tcMar>
              <w:top w:w="100.0" w:type="dxa"/>
              <w:left w:w="120.0" w:type="dxa"/>
              <w:bottom w:w="100.0" w:type="dxa"/>
              <w:right w:w="120.0" w:type="dxa"/>
            </w:tcMar>
            <w:vAlign w:val="top"/>
          </w:tcPr>
          <w:p w:rsidR="00000000" w:rsidDel="00000000" w:rsidP="00000000" w:rsidRDefault="00000000" w:rsidRPr="00000000" w14:paraId="00000046">
            <w:pPr>
              <w:jc w:val="center"/>
              <w:rPr>
                <w:color w:val="272727"/>
                <w:sz w:val="27"/>
                <w:szCs w:val="27"/>
                <w:highlight w:val="white"/>
              </w:rPr>
            </w:pPr>
            <w:r w:rsidDel="00000000" w:rsidR="00000000" w:rsidRPr="00000000">
              <w:rPr>
                <w:b w:val="1"/>
                <w:color w:val="272727"/>
                <w:sz w:val="27"/>
                <w:szCs w:val="27"/>
                <w:highlight w:val="white"/>
                <w:rtl w:val="0"/>
              </w:rPr>
              <w:t xml:space="preserve">NUMBER OF PIECES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0.0" w:type="dxa"/>
              <w:bottom w:w="0.0" w:type="dxa"/>
              <w:right w:w="0.0" w:type="dxa"/>
            </w:tcMar>
            <w:vAlign w:val="top"/>
          </w:tcPr>
          <w:p w:rsidR="00000000" w:rsidDel="00000000" w:rsidP="00000000" w:rsidRDefault="00000000" w:rsidRPr="00000000" w14:paraId="00000047">
            <w:pPr>
              <w:pBdr>
                <w:top w:color="auto" w:space="6" w:sz="0" w:val="none"/>
                <w:left w:color="auto" w:space="0" w:sz="0" w:val="none"/>
                <w:bottom w:color="auto" w:space="6" w:sz="0" w:val="none"/>
                <w:right w:color="auto" w:space="0" w:sz="0" w:val="none"/>
                <w:between w:color="auto" w:space="6" w:sz="0" w:val="none"/>
              </w:pBdr>
              <w:rPr>
                <w:color w:val="272727"/>
                <w:sz w:val="27"/>
                <w:szCs w:val="27"/>
                <w:highlight w:val="white"/>
              </w:rPr>
            </w:pPr>
            <w:r w:rsidDel="00000000" w:rsidR="00000000" w:rsidRPr="00000000">
              <w:rPr>
                <w:color w:val="272727"/>
                <w:sz w:val="27"/>
                <w:szCs w:val="27"/>
                <w:highlight w:val="white"/>
                <w:rtl w:val="0"/>
              </w:rPr>
              <w:t xml:space="preserve">4 pieces</w:t>
            </w:r>
          </w:p>
        </w:tc>
      </w:tr>
    </w:tbl>
    <w:p w:rsidR="00000000" w:rsidDel="00000000" w:rsidP="00000000" w:rsidRDefault="00000000" w:rsidRPr="00000000" w14:paraId="00000048">
      <w:pPr>
        <w:rPr>
          <w:color w:val="272727"/>
          <w:sz w:val="36"/>
          <w:szCs w:val="36"/>
          <w:highlight w:val="white"/>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272727"/>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amazon.com/gp/product/1546878904/ref=sw_img_1?smid=ATVPDKIKX0DER&amp;psc=1" TargetMode="External"/><Relationship Id="rId10" Type="http://schemas.openxmlformats.org/officeDocument/2006/relationships/hyperlink" Target="https://www.amazon.com/Hero-Two-Doors-Down-Friendship/dp/0545804523/ref=sr_1_11?crid=3NROM97866ID5&amp;keywords=baseball+books+for+boys+9-12&amp;qid=1675360483&amp;sprefix=basebball+boo%2Caps%2C161&amp;sr=8-11" TargetMode="External"/><Relationship Id="rId12" Type="http://schemas.openxmlformats.org/officeDocument/2006/relationships/hyperlink" Target="https://strawbees.com/product/sustainability-station/" TargetMode="External"/><Relationship Id="rId9" Type="http://schemas.openxmlformats.org/officeDocument/2006/relationships/hyperlink" Target="https://www.amazon.com/Dogs-Who-Play-Baseball/dp/1736633937/ref=sr_1_19?crid=3NROM97866ID5&amp;keywords=baseball+books+for+boys+9-12&amp;qid=1675360756&amp;sprefix=basebball+boo%2Caps%2C161&amp;sr=8-19" TargetMode="External"/><Relationship Id="rId5" Type="http://schemas.openxmlformats.org/officeDocument/2006/relationships/styles" Target="styles.xml"/><Relationship Id="rId6" Type="http://schemas.openxmlformats.org/officeDocument/2006/relationships/hyperlink" Target="https://www.amazon.com/dp/B08LG79CQT/ref=redir_mobile_desktop?_encoding=UTF8&amp;aaxitk=acda76f619b2f68fc5e93830306a6972" TargetMode="External"/><Relationship Id="rId7" Type="http://schemas.openxmlformats.org/officeDocument/2006/relationships/hyperlink" Target="https://www.amazon.com/Game-Extremes-Exceptional-Baseball-Happened/dp/B09PMFYC54/ref=sr_1_19?crid=2AMGM6VQ09YIN&amp;keywords=baseball+books+for+boys+12-14&amp;qid=1675360905&amp;sprefix=baseball+books+for+boys+%2Caps%2C164&amp;sr=8-19" TargetMode="External"/><Relationship Id="rId8" Type="http://schemas.openxmlformats.org/officeDocument/2006/relationships/hyperlink" Target="https://www.amazon.com/Baseball-Goats-Greatest-Athletes-Illustrated/dp/1666321486/ref=sr_1_6?crid=2AMGM6VQ09YIN&amp;keywords=baseball+books+for+boys+12-14&amp;qid=1675360859&amp;sprefix=baseball+books+for+boys+%2Caps%2C164&amp;sr=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